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5E5FA" w14:textId="4527A0E8" w:rsidR="00136795" w:rsidRPr="008E5A4C" w:rsidRDefault="008E5A4C" w:rsidP="00B91960">
      <w:pPr>
        <w:pStyle w:val="Title"/>
        <w:rPr>
          <w:rFonts w:eastAsia="Times New Roman"/>
          <w:sz w:val="44"/>
          <w:szCs w:val="44"/>
        </w:rPr>
      </w:pPr>
      <w:r>
        <w:rPr>
          <w:rFonts w:eastAsia="Times New Roman"/>
          <w:sz w:val="44"/>
          <w:szCs w:val="44"/>
        </w:rPr>
        <w:t xml:space="preserve">About </w:t>
      </w:r>
      <w:r w:rsidR="00136795" w:rsidRPr="008E5A4C">
        <w:rPr>
          <w:rFonts w:eastAsia="Times New Roman"/>
          <w:sz w:val="44"/>
          <w:szCs w:val="44"/>
        </w:rPr>
        <w:t xml:space="preserve">Healthcare Exploration </w:t>
      </w:r>
      <w:r w:rsidRPr="008E5A4C">
        <w:rPr>
          <w:rFonts w:eastAsia="Times New Roman"/>
          <w:sz w:val="44"/>
          <w:szCs w:val="44"/>
        </w:rPr>
        <w:t xml:space="preserve">Outreach </w:t>
      </w:r>
      <w:r w:rsidR="00136795" w:rsidRPr="008E5A4C">
        <w:rPr>
          <w:rFonts w:eastAsia="Times New Roman"/>
          <w:sz w:val="44"/>
          <w:szCs w:val="44"/>
        </w:rPr>
        <w:t>Activities</w:t>
      </w:r>
    </w:p>
    <w:p w14:paraId="634476F1" w14:textId="77777777" w:rsidR="00136795" w:rsidRPr="00136795" w:rsidRDefault="00136795" w:rsidP="00136795">
      <w:pPr>
        <w:spacing w:before="100" w:beforeAutospacing="1" w:after="100" w:afterAutospacing="1" w:line="300" w:lineRule="atLeast"/>
        <w:rPr>
          <w:rFonts w:ascii="Segoe UI" w:eastAsia="Times New Roman" w:hAnsi="Segoe UI" w:cs="Segoe UI"/>
          <w:kern w:val="0"/>
          <w:sz w:val="21"/>
          <w:szCs w:val="21"/>
          <w14:ligatures w14:val="none"/>
        </w:rPr>
      </w:pPr>
      <w:r w:rsidRPr="00136795">
        <w:rPr>
          <w:rFonts w:ascii="Segoe UI" w:eastAsia="Times New Roman" w:hAnsi="Segoe UI" w:cs="Segoe UI"/>
          <w:kern w:val="0"/>
          <w:sz w:val="21"/>
          <w:szCs w:val="21"/>
          <w14:ligatures w14:val="none"/>
        </w:rPr>
        <w:t>Through support from the U.S. Department of Labor PATH Grant and the expertise of Healthcare Outreach Specialists, eight interactive healthcare exploration activities and simulations have been developed to provide engaging career awareness experiences for students and participants interested in healthcare professions.</w:t>
      </w:r>
    </w:p>
    <w:p w14:paraId="5493F48F" w14:textId="77777777" w:rsidR="00136795" w:rsidRPr="00136795" w:rsidRDefault="00136795" w:rsidP="00B91960">
      <w:pPr>
        <w:pStyle w:val="Heading1"/>
        <w:rPr>
          <w:rFonts w:eastAsia="Times New Roman"/>
          <w:b w:val="0"/>
        </w:rPr>
      </w:pPr>
      <w:r w:rsidRPr="00136795">
        <w:rPr>
          <w:rFonts w:eastAsia="Times New Roman"/>
        </w:rPr>
        <w:t>What Are Hands-On Healthcare Exploration Activities and Simulations?</w:t>
      </w:r>
    </w:p>
    <w:p w14:paraId="4B19F933" w14:textId="77777777" w:rsidR="00136795" w:rsidRPr="00136795" w:rsidRDefault="00136795" w:rsidP="00136795">
      <w:pPr>
        <w:spacing w:before="100" w:beforeAutospacing="1" w:after="100" w:afterAutospacing="1" w:line="300" w:lineRule="atLeast"/>
        <w:rPr>
          <w:rFonts w:ascii="Segoe UI" w:eastAsia="Times New Roman" w:hAnsi="Segoe UI" w:cs="Segoe UI"/>
          <w:kern w:val="0"/>
          <w:sz w:val="21"/>
          <w:szCs w:val="21"/>
          <w14:ligatures w14:val="none"/>
        </w:rPr>
      </w:pPr>
      <w:r w:rsidRPr="00136795">
        <w:rPr>
          <w:rFonts w:ascii="Segoe UI" w:eastAsia="Times New Roman" w:hAnsi="Segoe UI" w:cs="Segoe UI"/>
          <w:kern w:val="0"/>
          <w:sz w:val="21"/>
          <w:szCs w:val="21"/>
          <w14:ligatures w14:val="none"/>
        </w:rPr>
        <w:t>These hands-on learning experiences introduce participants to real-world skills and procedures commonly performed by healthcare professionals. Through guided activities, learners gain exposure to essential healthcare practices, including:</w:t>
      </w:r>
    </w:p>
    <w:p w14:paraId="3E79FEE8" w14:textId="77777777" w:rsidR="00136795" w:rsidRPr="00136795" w:rsidRDefault="00136795" w:rsidP="00136795">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136795">
        <w:rPr>
          <w:rFonts w:ascii="Segoe UI" w:eastAsia="Times New Roman" w:hAnsi="Segoe UI" w:cs="Segoe UI"/>
          <w:kern w:val="0"/>
          <w:sz w:val="21"/>
          <w:szCs w:val="21"/>
          <w14:ligatures w14:val="none"/>
        </w:rPr>
        <w:t>Safe preparation and administration of medications</w:t>
      </w:r>
    </w:p>
    <w:p w14:paraId="6934DAE7" w14:textId="77777777" w:rsidR="00136795" w:rsidRPr="00136795" w:rsidRDefault="00136795" w:rsidP="00136795">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136795">
        <w:rPr>
          <w:rFonts w:ascii="Segoe UI" w:eastAsia="Times New Roman" w:hAnsi="Segoe UI" w:cs="Segoe UI"/>
          <w:kern w:val="0"/>
          <w:sz w:val="21"/>
          <w:szCs w:val="21"/>
          <w14:ligatures w14:val="none"/>
        </w:rPr>
        <w:t>Selection and use of appropriate medical equipment</w:t>
      </w:r>
    </w:p>
    <w:p w14:paraId="2BBEBAD8" w14:textId="77777777" w:rsidR="00136795" w:rsidRPr="00136795" w:rsidRDefault="00136795" w:rsidP="00136795">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136795">
        <w:rPr>
          <w:rFonts w:ascii="Segoe UI" w:eastAsia="Times New Roman" w:hAnsi="Segoe UI" w:cs="Segoe UI"/>
          <w:kern w:val="0"/>
          <w:sz w:val="21"/>
          <w:szCs w:val="21"/>
          <w14:ligatures w14:val="none"/>
        </w:rPr>
        <w:t>Medication dosage preparation and injection techniques</w:t>
      </w:r>
    </w:p>
    <w:p w14:paraId="4F12ABA9" w14:textId="77777777" w:rsidR="00136795" w:rsidRPr="00136795" w:rsidRDefault="00136795" w:rsidP="00136795">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136795">
        <w:rPr>
          <w:rFonts w:ascii="Segoe UI" w:eastAsia="Times New Roman" w:hAnsi="Segoe UI" w:cs="Segoe UI"/>
          <w:kern w:val="0"/>
          <w:sz w:val="21"/>
          <w:szCs w:val="21"/>
          <w14:ligatures w14:val="none"/>
        </w:rPr>
        <w:t>Bleeding control and basic patient care procedures</w:t>
      </w:r>
    </w:p>
    <w:p w14:paraId="1A505F45" w14:textId="77777777" w:rsidR="00136795" w:rsidRPr="00136795" w:rsidRDefault="00136795" w:rsidP="00136795">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136795">
        <w:rPr>
          <w:rFonts w:ascii="Segoe UI" w:eastAsia="Times New Roman" w:hAnsi="Segoe UI" w:cs="Segoe UI"/>
          <w:kern w:val="0"/>
          <w:sz w:val="21"/>
          <w:szCs w:val="21"/>
          <w14:ligatures w14:val="none"/>
        </w:rPr>
        <w:t>Clinical decision-making and safety protocols</w:t>
      </w:r>
    </w:p>
    <w:p w14:paraId="18638A9F" w14:textId="77777777" w:rsidR="00136795" w:rsidRPr="00136795" w:rsidRDefault="00136795" w:rsidP="00136795">
      <w:pPr>
        <w:spacing w:before="100" w:beforeAutospacing="1" w:after="100" w:afterAutospacing="1" w:line="300" w:lineRule="atLeast"/>
        <w:rPr>
          <w:rFonts w:ascii="Segoe UI" w:eastAsia="Times New Roman" w:hAnsi="Segoe UI" w:cs="Segoe UI"/>
          <w:kern w:val="0"/>
          <w:sz w:val="21"/>
          <w:szCs w:val="21"/>
          <w14:ligatures w14:val="none"/>
        </w:rPr>
      </w:pPr>
      <w:r w:rsidRPr="00136795">
        <w:rPr>
          <w:rFonts w:ascii="Segoe UI" w:eastAsia="Times New Roman" w:hAnsi="Segoe UI" w:cs="Segoe UI"/>
          <w:kern w:val="0"/>
          <w:sz w:val="21"/>
          <w:szCs w:val="21"/>
          <w14:ligatures w14:val="none"/>
        </w:rPr>
        <w:t>Designed around authentic healthcare scenarios and case studies, these activities help participants develop a deeper understanding of healthcare careers while building confidence and interest in the field. The simulations are freely available through any internet-connected device and can be accessed using a web link.</w:t>
      </w:r>
    </w:p>
    <w:p w14:paraId="3DC9C436" w14:textId="77777777" w:rsidR="00136795" w:rsidRPr="00136795" w:rsidRDefault="00136795" w:rsidP="00B91960">
      <w:pPr>
        <w:pStyle w:val="Heading1"/>
        <w:rPr>
          <w:rFonts w:eastAsia="Times New Roman"/>
        </w:rPr>
      </w:pPr>
      <w:r w:rsidRPr="00136795">
        <w:rPr>
          <w:rFonts w:eastAsia="Times New Roman"/>
        </w:rPr>
        <w:t>What Does CC BY 4.0 Licensing Mean?</w:t>
      </w:r>
    </w:p>
    <w:p w14:paraId="00792C47" w14:textId="77777777" w:rsidR="00136795" w:rsidRPr="00136795" w:rsidRDefault="00136795" w:rsidP="00136795">
      <w:pPr>
        <w:spacing w:before="100" w:beforeAutospacing="1" w:after="100" w:afterAutospacing="1" w:line="300" w:lineRule="atLeast"/>
        <w:rPr>
          <w:rFonts w:ascii="Segoe UI" w:eastAsia="Times New Roman" w:hAnsi="Segoe UI" w:cs="Segoe UI"/>
          <w:kern w:val="0"/>
          <w:sz w:val="21"/>
          <w:szCs w:val="21"/>
          <w14:ligatures w14:val="none"/>
        </w:rPr>
      </w:pPr>
      <w:r w:rsidRPr="00136795">
        <w:rPr>
          <w:rFonts w:ascii="Segoe UI" w:eastAsia="Times New Roman" w:hAnsi="Segoe UI" w:cs="Segoe UI"/>
          <w:kern w:val="0"/>
          <w:sz w:val="21"/>
          <w:szCs w:val="21"/>
          <w14:ligatures w14:val="none"/>
        </w:rPr>
        <w:t>These educational resources are distributed under a Creative Commons Attribution (CC BY 4.0) license. This licensing model allows educators, organizations, and institutions to use, adapt, revise, and share the materials without requesting permission from the original authors, provided appropriate attribution is given. A recommended attribution statement is included within each simulation resource.</w:t>
      </w:r>
    </w:p>
    <w:p w14:paraId="43A45F68" w14:textId="77777777" w:rsidR="00136795" w:rsidRPr="00136795" w:rsidRDefault="00136795" w:rsidP="00B91960">
      <w:pPr>
        <w:pStyle w:val="Heading1"/>
        <w:rPr>
          <w:rFonts w:eastAsia="Times New Roman"/>
        </w:rPr>
      </w:pPr>
      <w:r w:rsidRPr="00136795">
        <w:rPr>
          <w:rFonts w:eastAsia="Times New Roman"/>
        </w:rPr>
        <w:t>What Are Career Exploration Outreach Healthcare Activities?</w:t>
      </w:r>
    </w:p>
    <w:p w14:paraId="13ECFACB" w14:textId="77777777" w:rsidR="00136795" w:rsidRPr="00136795" w:rsidRDefault="00136795" w:rsidP="00136795">
      <w:pPr>
        <w:spacing w:before="100" w:beforeAutospacing="1" w:after="100" w:afterAutospacing="1" w:line="300" w:lineRule="atLeast"/>
        <w:rPr>
          <w:rFonts w:ascii="Segoe UI" w:eastAsia="Times New Roman" w:hAnsi="Segoe UI" w:cs="Segoe UI"/>
          <w:kern w:val="0"/>
          <w:sz w:val="21"/>
          <w:szCs w:val="21"/>
          <w14:ligatures w14:val="none"/>
        </w:rPr>
      </w:pPr>
      <w:r w:rsidRPr="00136795">
        <w:rPr>
          <w:rFonts w:ascii="Segoe UI" w:eastAsia="Times New Roman" w:hAnsi="Segoe UI" w:cs="Segoe UI"/>
          <w:kern w:val="0"/>
          <w:sz w:val="21"/>
          <w:szCs w:val="21"/>
          <w14:ligatures w14:val="none"/>
        </w:rPr>
        <w:t>Career Exploration Outreach Healthcare Activities combine healthcare career awareness with experiential learning. By incorporating actual medical tools, devices, and hands-on experiences, these activities help bridge the gap between healthcare education and career opportunities, making healthcare professions more tangible and accessible for students.</w:t>
      </w:r>
    </w:p>
    <w:p w14:paraId="055DECCE" w14:textId="77777777" w:rsidR="00136795" w:rsidRPr="00136795" w:rsidRDefault="00136795" w:rsidP="00136795">
      <w:pPr>
        <w:spacing w:before="100" w:beforeAutospacing="1" w:after="100" w:afterAutospacing="1" w:line="300" w:lineRule="atLeast"/>
        <w:rPr>
          <w:rFonts w:ascii="Segoe UI" w:eastAsia="Times New Roman" w:hAnsi="Segoe UI" w:cs="Segoe UI"/>
          <w:kern w:val="0"/>
          <w:sz w:val="21"/>
          <w:szCs w:val="21"/>
          <w14:ligatures w14:val="none"/>
        </w:rPr>
      </w:pPr>
      <w:r w:rsidRPr="00136795">
        <w:rPr>
          <w:rFonts w:ascii="Segoe UI" w:eastAsia="Times New Roman" w:hAnsi="Segoe UI" w:cs="Segoe UI"/>
          <w:kern w:val="0"/>
          <w:sz w:val="21"/>
          <w:szCs w:val="21"/>
          <w14:ligatures w14:val="none"/>
        </w:rPr>
        <w:t xml:space="preserve">This approach is particularly impactful for youth in rural and underserved communities, where exposure to healthcare careers may be limited. Participants gain valuable insight into educational </w:t>
      </w:r>
      <w:r w:rsidRPr="00136795">
        <w:rPr>
          <w:rFonts w:ascii="Segoe UI" w:eastAsia="Times New Roman" w:hAnsi="Segoe UI" w:cs="Segoe UI"/>
          <w:kern w:val="0"/>
          <w:sz w:val="21"/>
          <w:szCs w:val="21"/>
          <w14:ligatures w14:val="none"/>
        </w:rPr>
        <w:lastRenderedPageBreak/>
        <w:t>pathways, healthcare occupations, and workforce opportunities while engaging directly with healthcare equipment and procedures.</w:t>
      </w:r>
    </w:p>
    <w:p w14:paraId="7F525101" w14:textId="77777777" w:rsidR="00136795" w:rsidRPr="00136795" w:rsidRDefault="00136795" w:rsidP="00B91960">
      <w:pPr>
        <w:pStyle w:val="Heading1"/>
        <w:rPr>
          <w:rFonts w:eastAsia="Times New Roman"/>
        </w:rPr>
      </w:pPr>
      <w:r w:rsidRPr="00136795">
        <w:rPr>
          <w:rFonts w:eastAsia="Times New Roman"/>
        </w:rPr>
        <w:t>Impact and Benefits</w:t>
      </w:r>
    </w:p>
    <w:p w14:paraId="13FAA015" w14:textId="77777777" w:rsidR="00136795" w:rsidRPr="00136795" w:rsidRDefault="00136795" w:rsidP="00136795">
      <w:pPr>
        <w:spacing w:before="100" w:beforeAutospacing="1" w:after="100" w:afterAutospacing="1" w:line="300" w:lineRule="atLeast"/>
        <w:rPr>
          <w:rFonts w:ascii="Segoe UI" w:eastAsia="Times New Roman" w:hAnsi="Segoe UI" w:cs="Segoe UI"/>
          <w:kern w:val="0"/>
          <w:sz w:val="21"/>
          <w:szCs w:val="21"/>
          <w14:ligatures w14:val="none"/>
        </w:rPr>
      </w:pPr>
      <w:r w:rsidRPr="00136795">
        <w:rPr>
          <w:rFonts w:ascii="Segoe UI" w:eastAsia="Times New Roman" w:hAnsi="Segoe UI" w:cs="Segoe UI"/>
          <w:kern w:val="0"/>
          <w:sz w:val="21"/>
          <w:szCs w:val="21"/>
          <w14:ligatures w14:val="none"/>
        </w:rPr>
        <w:t>Healthcare Exploration Outreach Activities:</w:t>
      </w:r>
    </w:p>
    <w:p w14:paraId="10DBFDE7" w14:textId="77777777" w:rsidR="00136795" w:rsidRPr="00136795" w:rsidRDefault="00136795" w:rsidP="00136795">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136795">
        <w:rPr>
          <w:rFonts w:ascii="Segoe UI" w:eastAsia="Times New Roman" w:hAnsi="Segoe UI" w:cs="Segoe UI"/>
          <w:kern w:val="0"/>
          <w:sz w:val="21"/>
          <w:szCs w:val="21"/>
          <w14:ligatures w14:val="none"/>
        </w:rPr>
        <w:t>Increase awareness of healthcare career pathways and educational opportunities.</w:t>
      </w:r>
    </w:p>
    <w:p w14:paraId="62A84A34" w14:textId="77777777" w:rsidR="00136795" w:rsidRPr="00136795" w:rsidRDefault="00136795" w:rsidP="00136795">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136795">
        <w:rPr>
          <w:rFonts w:ascii="Segoe UI" w:eastAsia="Times New Roman" w:hAnsi="Segoe UI" w:cs="Segoe UI"/>
          <w:kern w:val="0"/>
          <w:sz w:val="21"/>
          <w:szCs w:val="21"/>
          <w14:ligatures w14:val="none"/>
        </w:rPr>
        <w:t>Provide meaningful, hands-on experiences that enhance student engagement.</w:t>
      </w:r>
    </w:p>
    <w:p w14:paraId="6D338B13" w14:textId="77777777" w:rsidR="00136795" w:rsidRPr="00136795" w:rsidRDefault="00136795" w:rsidP="00136795">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136795">
        <w:rPr>
          <w:rFonts w:ascii="Segoe UI" w:eastAsia="Times New Roman" w:hAnsi="Segoe UI" w:cs="Segoe UI"/>
          <w:kern w:val="0"/>
          <w:sz w:val="21"/>
          <w:szCs w:val="21"/>
          <w14:ligatures w14:val="none"/>
        </w:rPr>
        <w:t>Support efficient and impactful school outreach visits, healthcare career fairs, and Scrubs Camps.</w:t>
      </w:r>
    </w:p>
    <w:p w14:paraId="6D6B3E1A" w14:textId="77777777" w:rsidR="00136795" w:rsidRPr="00136795" w:rsidRDefault="00136795" w:rsidP="00136795">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136795">
        <w:rPr>
          <w:rFonts w:ascii="Segoe UI" w:eastAsia="Times New Roman" w:hAnsi="Segoe UI" w:cs="Segoe UI"/>
          <w:kern w:val="0"/>
          <w:sz w:val="21"/>
          <w:szCs w:val="21"/>
          <w14:ligatures w14:val="none"/>
        </w:rPr>
        <w:t>Expand access to healthcare career exploration, particularly in rural and underserved regions.</w:t>
      </w:r>
    </w:p>
    <w:p w14:paraId="463A625B" w14:textId="77777777" w:rsidR="00136795" w:rsidRPr="00136795" w:rsidRDefault="00136795" w:rsidP="00136795">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136795">
        <w:rPr>
          <w:rFonts w:ascii="Segoe UI" w:eastAsia="Times New Roman" w:hAnsi="Segoe UI" w:cs="Segoe UI"/>
          <w:kern w:val="0"/>
          <w:sz w:val="21"/>
          <w:szCs w:val="21"/>
          <w14:ligatures w14:val="none"/>
        </w:rPr>
        <w:t>Strengthen recruitment efforts and contribute to increased enrollment in high-demand healthcare programs and occupations.</w:t>
      </w:r>
    </w:p>
    <w:p w14:paraId="48DC2116" w14:textId="77777777" w:rsidR="00136795" w:rsidRPr="00136795" w:rsidRDefault="00136795" w:rsidP="00136795">
      <w:pPr>
        <w:spacing w:before="100" w:beforeAutospacing="1" w:after="100" w:afterAutospacing="1" w:line="300" w:lineRule="atLeast"/>
        <w:rPr>
          <w:rFonts w:ascii="Segoe UI" w:eastAsia="Times New Roman" w:hAnsi="Segoe UI" w:cs="Segoe UI"/>
          <w:kern w:val="0"/>
          <w:sz w:val="21"/>
          <w:szCs w:val="21"/>
          <w14:ligatures w14:val="none"/>
        </w:rPr>
      </w:pPr>
      <w:r w:rsidRPr="00136795">
        <w:rPr>
          <w:rFonts w:ascii="Segoe UI" w:eastAsia="Times New Roman" w:hAnsi="Segoe UI" w:cs="Segoe UI"/>
          <w:kern w:val="0"/>
          <w:sz w:val="21"/>
          <w:szCs w:val="21"/>
          <w14:ligatures w14:val="none"/>
        </w:rPr>
        <w:t>By combining experiential learning with career exploration, these activities inspire the next generation of healthcare professionals and help build a stronger healthcare workforce for the future.</w:t>
      </w:r>
    </w:p>
    <w:p w14:paraId="4BAD84D4" w14:textId="77777777" w:rsidR="00136795" w:rsidRPr="00136795" w:rsidRDefault="00136795" w:rsidP="00B91960">
      <w:pPr>
        <w:pStyle w:val="Heading1"/>
        <w:rPr>
          <w:rFonts w:eastAsia="Times New Roman"/>
        </w:rPr>
      </w:pPr>
      <w:r w:rsidRPr="00136795">
        <w:rPr>
          <w:rFonts w:eastAsia="Times New Roman"/>
        </w:rPr>
        <w:t>How Do These Activities Support Rural Education?</w:t>
      </w:r>
    </w:p>
    <w:p w14:paraId="5ACD836B" w14:textId="77777777" w:rsidR="00136795" w:rsidRPr="00136795" w:rsidRDefault="00136795" w:rsidP="00136795">
      <w:pPr>
        <w:spacing w:before="100" w:beforeAutospacing="1" w:after="100" w:afterAutospacing="1" w:line="300" w:lineRule="atLeast"/>
        <w:rPr>
          <w:rFonts w:ascii="Segoe UI" w:eastAsia="Times New Roman" w:hAnsi="Segoe UI" w:cs="Segoe UI"/>
          <w:kern w:val="0"/>
          <w:sz w:val="21"/>
          <w:szCs w:val="21"/>
          <w14:ligatures w14:val="none"/>
        </w:rPr>
      </w:pPr>
      <w:r w:rsidRPr="00136795">
        <w:rPr>
          <w:rFonts w:ascii="Segoe UI" w:eastAsia="Times New Roman" w:hAnsi="Segoe UI" w:cs="Segoe UI"/>
          <w:kern w:val="0"/>
          <w:sz w:val="21"/>
          <w:szCs w:val="21"/>
          <w14:ligatures w14:val="none"/>
        </w:rPr>
        <w:t>Healthcare Exploration Outreach Activities play a critical role in supporting rural education by providing students with meaningful exposure to career opportunities that may otherwise be difficult to access. In many rural communities, limited proximity to healthcare facilities, postsecondary institutions, and healthcare professionals can create barriers to career exploration. These activities help overcome those challenges by bringing authentic healthcare experiences directly into schools and community settings.</w:t>
      </w:r>
    </w:p>
    <w:p w14:paraId="193787E0" w14:textId="40246722" w:rsidR="00136795" w:rsidRPr="00136795" w:rsidRDefault="00136795" w:rsidP="00136795">
      <w:pPr>
        <w:spacing w:before="100" w:beforeAutospacing="1" w:after="100" w:afterAutospacing="1" w:line="300" w:lineRule="atLeast"/>
        <w:rPr>
          <w:rFonts w:ascii="Segoe UI" w:eastAsia="Times New Roman" w:hAnsi="Segoe UI" w:cs="Segoe UI"/>
          <w:kern w:val="0"/>
          <w:sz w:val="21"/>
          <w:szCs w:val="21"/>
          <w14:ligatures w14:val="none"/>
        </w:rPr>
      </w:pPr>
      <w:r w:rsidRPr="00136795">
        <w:rPr>
          <w:rFonts w:ascii="Segoe UI" w:eastAsia="Times New Roman" w:hAnsi="Segoe UI" w:cs="Segoe UI"/>
          <w:kern w:val="0"/>
          <w:sz w:val="21"/>
          <w:szCs w:val="21"/>
          <w14:ligatures w14:val="none"/>
        </w:rPr>
        <w:t>Keyways these activities support rural education include:</w:t>
      </w:r>
    </w:p>
    <w:p w14:paraId="0264545A" w14:textId="77777777" w:rsidR="00136795" w:rsidRPr="00136795" w:rsidRDefault="00136795" w:rsidP="00B91960">
      <w:pPr>
        <w:numPr>
          <w:ilvl w:val="0"/>
          <w:numId w:val="3"/>
        </w:numPr>
        <w:spacing w:before="100" w:beforeAutospacing="1" w:after="220" w:line="300" w:lineRule="atLeast"/>
        <w:rPr>
          <w:rFonts w:ascii="Segoe UI" w:eastAsia="Times New Roman" w:hAnsi="Segoe UI" w:cs="Segoe UI"/>
          <w:kern w:val="0"/>
          <w:sz w:val="21"/>
          <w:szCs w:val="21"/>
          <w14:ligatures w14:val="none"/>
        </w:rPr>
      </w:pPr>
      <w:r w:rsidRPr="00136795">
        <w:rPr>
          <w:rFonts w:ascii="Segoe UI" w:eastAsia="Times New Roman" w:hAnsi="Segoe UI" w:cs="Segoe UI"/>
          <w:b/>
          <w:bCs/>
          <w:kern w:val="0"/>
          <w:sz w:val="21"/>
          <w:szCs w:val="21"/>
          <w14:ligatures w14:val="none"/>
        </w:rPr>
        <w:t>Expanding Career Awareness:</w:t>
      </w:r>
      <w:r w:rsidRPr="00136795">
        <w:rPr>
          <w:rFonts w:ascii="Segoe UI" w:eastAsia="Times New Roman" w:hAnsi="Segoe UI" w:cs="Segoe UI"/>
          <w:kern w:val="0"/>
          <w:sz w:val="21"/>
          <w:szCs w:val="21"/>
          <w14:ligatures w14:val="none"/>
        </w:rPr>
        <w:t xml:space="preserve"> Students gain firsthand exposure to a wide range of healthcare careers, helping them better understand the educational pathways, skills, and opportunities available within the healthcare field.</w:t>
      </w:r>
    </w:p>
    <w:p w14:paraId="5E04A81B" w14:textId="77777777" w:rsidR="00136795" w:rsidRPr="00136795" w:rsidRDefault="00136795" w:rsidP="00B91960">
      <w:pPr>
        <w:numPr>
          <w:ilvl w:val="0"/>
          <w:numId w:val="3"/>
        </w:numPr>
        <w:spacing w:before="100" w:beforeAutospacing="1" w:after="220" w:line="300" w:lineRule="atLeast"/>
        <w:rPr>
          <w:rFonts w:ascii="Segoe UI" w:eastAsia="Times New Roman" w:hAnsi="Segoe UI" w:cs="Segoe UI"/>
          <w:kern w:val="0"/>
          <w:sz w:val="21"/>
          <w:szCs w:val="21"/>
          <w14:ligatures w14:val="none"/>
        </w:rPr>
      </w:pPr>
      <w:r w:rsidRPr="00136795">
        <w:rPr>
          <w:rFonts w:ascii="Segoe UI" w:eastAsia="Times New Roman" w:hAnsi="Segoe UI" w:cs="Segoe UI"/>
          <w:b/>
          <w:bCs/>
          <w:kern w:val="0"/>
          <w:sz w:val="21"/>
          <w:szCs w:val="21"/>
          <w14:ligatures w14:val="none"/>
        </w:rPr>
        <w:t>Increasing Access to Experiential Learning:</w:t>
      </w:r>
      <w:r w:rsidRPr="00136795">
        <w:rPr>
          <w:rFonts w:ascii="Segoe UI" w:eastAsia="Times New Roman" w:hAnsi="Segoe UI" w:cs="Segoe UI"/>
          <w:kern w:val="0"/>
          <w:sz w:val="21"/>
          <w:szCs w:val="21"/>
          <w14:ligatures w14:val="none"/>
        </w:rPr>
        <w:t xml:space="preserve"> Through hands-on activities and simulations, rural students can engage with healthcare equipment, procedures, and clinical scenarios that may not be available in their local schools or communities.</w:t>
      </w:r>
    </w:p>
    <w:p w14:paraId="73B2027A" w14:textId="77777777" w:rsidR="00136795" w:rsidRPr="00136795" w:rsidRDefault="00136795" w:rsidP="00B91960">
      <w:pPr>
        <w:numPr>
          <w:ilvl w:val="0"/>
          <w:numId w:val="3"/>
        </w:numPr>
        <w:spacing w:before="100" w:beforeAutospacing="1" w:after="220" w:line="300" w:lineRule="atLeast"/>
        <w:rPr>
          <w:rFonts w:ascii="Segoe UI" w:eastAsia="Times New Roman" w:hAnsi="Segoe UI" w:cs="Segoe UI"/>
          <w:kern w:val="0"/>
          <w:sz w:val="21"/>
          <w:szCs w:val="21"/>
          <w14:ligatures w14:val="none"/>
        </w:rPr>
      </w:pPr>
      <w:r w:rsidRPr="00136795">
        <w:rPr>
          <w:rFonts w:ascii="Segoe UI" w:eastAsia="Times New Roman" w:hAnsi="Segoe UI" w:cs="Segoe UI"/>
          <w:b/>
          <w:bCs/>
          <w:kern w:val="0"/>
          <w:sz w:val="21"/>
          <w:szCs w:val="21"/>
          <w14:ligatures w14:val="none"/>
        </w:rPr>
        <w:t>Connecting Classroom Learning to Careers:</w:t>
      </w:r>
      <w:r w:rsidRPr="00136795">
        <w:rPr>
          <w:rFonts w:ascii="Segoe UI" w:eastAsia="Times New Roman" w:hAnsi="Segoe UI" w:cs="Segoe UI"/>
          <w:kern w:val="0"/>
          <w:sz w:val="21"/>
          <w:szCs w:val="21"/>
          <w14:ligatures w14:val="none"/>
        </w:rPr>
        <w:t xml:space="preserve"> The activities reinforce science, health, and technical education concepts while demonstrating how academic skills are applied in real healthcare settings.</w:t>
      </w:r>
    </w:p>
    <w:p w14:paraId="0F15FE08" w14:textId="77777777" w:rsidR="00136795" w:rsidRPr="00136795" w:rsidRDefault="00136795" w:rsidP="00B91960">
      <w:pPr>
        <w:numPr>
          <w:ilvl w:val="0"/>
          <w:numId w:val="3"/>
        </w:numPr>
        <w:spacing w:before="100" w:beforeAutospacing="1" w:after="220" w:line="300" w:lineRule="atLeast"/>
        <w:rPr>
          <w:rFonts w:ascii="Segoe UI" w:eastAsia="Times New Roman" w:hAnsi="Segoe UI" w:cs="Segoe UI"/>
          <w:kern w:val="0"/>
          <w:sz w:val="21"/>
          <w:szCs w:val="21"/>
          <w14:ligatures w14:val="none"/>
        </w:rPr>
      </w:pPr>
      <w:r w:rsidRPr="00136795">
        <w:rPr>
          <w:rFonts w:ascii="Segoe UI" w:eastAsia="Times New Roman" w:hAnsi="Segoe UI" w:cs="Segoe UI"/>
          <w:b/>
          <w:bCs/>
          <w:kern w:val="0"/>
          <w:sz w:val="21"/>
          <w:szCs w:val="21"/>
          <w14:ligatures w14:val="none"/>
        </w:rPr>
        <w:lastRenderedPageBreak/>
        <w:t>Addressing Workforce Shortages:</w:t>
      </w:r>
      <w:r w:rsidRPr="00136795">
        <w:rPr>
          <w:rFonts w:ascii="Segoe UI" w:eastAsia="Times New Roman" w:hAnsi="Segoe UI" w:cs="Segoe UI"/>
          <w:kern w:val="0"/>
          <w:sz w:val="21"/>
          <w:szCs w:val="21"/>
          <w14:ligatures w14:val="none"/>
        </w:rPr>
        <w:t xml:space="preserve"> By introducing healthcare careers at an early age, the activities help build interest in high-demand occupations and support the development of a future healthcare workforce in rural and underserved regions.</w:t>
      </w:r>
    </w:p>
    <w:p w14:paraId="59BF282F" w14:textId="4B905322" w:rsidR="00136795" w:rsidRPr="00136795" w:rsidRDefault="00136795" w:rsidP="00B91960">
      <w:pPr>
        <w:numPr>
          <w:ilvl w:val="0"/>
          <w:numId w:val="3"/>
        </w:numPr>
        <w:spacing w:before="100" w:beforeAutospacing="1" w:after="220" w:line="300" w:lineRule="atLeast"/>
        <w:rPr>
          <w:rFonts w:ascii="Segoe UI" w:eastAsia="Times New Roman" w:hAnsi="Segoe UI" w:cs="Segoe UI"/>
          <w:kern w:val="0"/>
          <w:sz w:val="21"/>
          <w:szCs w:val="21"/>
          <w14:ligatures w14:val="none"/>
        </w:rPr>
      </w:pPr>
      <w:r w:rsidRPr="00136795">
        <w:rPr>
          <w:rFonts w:ascii="Segoe UI" w:eastAsia="Times New Roman" w:hAnsi="Segoe UI" w:cs="Segoe UI"/>
          <w:b/>
          <w:bCs/>
          <w:kern w:val="0"/>
          <w:sz w:val="21"/>
          <w:szCs w:val="21"/>
          <w14:ligatures w14:val="none"/>
        </w:rPr>
        <w:t>Reducing Geographic Barriers:</w:t>
      </w:r>
      <w:r w:rsidRPr="00136795">
        <w:rPr>
          <w:rFonts w:ascii="Segoe UI" w:eastAsia="Times New Roman" w:hAnsi="Segoe UI" w:cs="Segoe UI"/>
          <w:kern w:val="0"/>
          <w:sz w:val="21"/>
          <w:szCs w:val="21"/>
          <w14:ligatures w14:val="none"/>
        </w:rPr>
        <w:t xml:space="preserve"> </w:t>
      </w:r>
      <w:r>
        <w:rPr>
          <w:rFonts w:ascii="Segoe UI" w:eastAsia="Times New Roman" w:hAnsi="Segoe UI" w:cs="Segoe UI"/>
          <w:kern w:val="0"/>
          <w:sz w:val="21"/>
          <w:szCs w:val="21"/>
          <w14:ligatures w14:val="none"/>
        </w:rPr>
        <w:t>P</w:t>
      </w:r>
      <w:r w:rsidRPr="00136795">
        <w:rPr>
          <w:rFonts w:ascii="Segoe UI" w:eastAsia="Times New Roman" w:hAnsi="Segoe UI" w:cs="Segoe UI"/>
          <w:kern w:val="0"/>
          <w:sz w:val="21"/>
          <w:szCs w:val="21"/>
          <w14:ligatures w14:val="none"/>
        </w:rPr>
        <w:t>ortable outreach activities can be delivered regardless of location, allowing students in remote communities to access the same high-quality career exploration experiences as their urban peers.</w:t>
      </w:r>
    </w:p>
    <w:p w14:paraId="15758485" w14:textId="77777777" w:rsidR="00136795" w:rsidRPr="00136795" w:rsidRDefault="00136795" w:rsidP="00B91960">
      <w:pPr>
        <w:numPr>
          <w:ilvl w:val="0"/>
          <w:numId w:val="3"/>
        </w:numPr>
        <w:spacing w:before="100" w:beforeAutospacing="1" w:after="220" w:line="300" w:lineRule="atLeast"/>
        <w:rPr>
          <w:rFonts w:ascii="Segoe UI" w:eastAsia="Times New Roman" w:hAnsi="Segoe UI" w:cs="Segoe UI"/>
          <w:kern w:val="0"/>
          <w:sz w:val="21"/>
          <w:szCs w:val="21"/>
          <w14:ligatures w14:val="none"/>
        </w:rPr>
      </w:pPr>
      <w:r w:rsidRPr="00136795">
        <w:rPr>
          <w:rFonts w:ascii="Segoe UI" w:eastAsia="Times New Roman" w:hAnsi="Segoe UI" w:cs="Segoe UI"/>
          <w:b/>
          <w:bCs/>
          <w:kern w:val="0"/>
          <w:sz w:val="21"/>
          <w:szCs w:val="21"/>
          <w14:ligatures w14:val="none"/>
        </w:rPr>
        <w:t>Supporting Equity and Opportunity:</w:t>
      </w:r>
      <w:r w:rsidRPr="00136795">
        <w:rPr>
          <w:rFonts w:ascii="Segoe UI" w:eastAsia="Times New Roman" w:hAnsi="Segoe UI" w:cs="Segoe UI"/>
          <w:kern w:val="0"/>
          <w:sz w:val="21"/>
          <w:szCs w:val="21"/>
          <w14:ligatures w14:val="none"/>
        </w:rPr>
        <w:t xml:space="preserve"> These activities provide rural students with access to resources, experiences, and professional insights that can help inform future educational and career decisions.</w:t>
      </w:r>
    </w:p>
    <w:p w14:paraId="586995F1" w14:textId="77777777" w:rsidR="00136795" w:rsidRPr="00136795" w:rsidRDefault="00136795" w:rsidP="00B91960">
      <w:pPr>
        <w:numPr>
          <w:ilvl w:val="0"/>
          <w:numId w:val="3"/>
        </w:numPr>
        <w:spacing w:before="100" w:beforeAutospacing="1" w:after="220" w:line="300" w:lineRule="atLeast"/>
        <w:rPr>
          <w:rFonts w:ascii="Segoe UI" w:eastAsia="Times New Roman" w:hAnsi="Segoe UI" w:cs="Segoe UI"/>
          <w:kern w:val="0"/>
          <w:sz w:val="21"/>
          <w:szCs w:val="21"/>
          <w14:ligatures w14:val="none"/>
        </w:rPr>
      </w:pPr>
      <w:r w:rsidRPr="00136795">
        <w:rPr>
          <w:rFonts w:ascii="Segoe UI" w:eastAsia="Times New Roman" w:hAnsi="Segoe UI" w:cs="Segoe UI"/>
          <w:b/>
          <w:bCs/>
          <w:kern w:val="0"/>
          <w:sz w:val="21"/>
          <w:szCs w:val="21"/>
          <w14:ligatures w14:val="none"/>
        </w:rPr>
        <w:t>Enhancing Student Engagement:</w:t>
      </w:r>
      <w:r w:rsidRPr="00136795">
        <w:rPr>
          <w:rFonts w:ascii="Segoe UI" w:eastAsia="Times New Roman" w:hAnsi="Segoe UI" w:cs="Segoe UI"/>
          <w:kern w:val="0"/>
          <w:sz w:val="21"/>
          <w:szCs w:val="21"/>
          <w14:ligatures w14:val="none"/>
        </w:rPr>
        <w:t xml:space="preserve"> Interactive, hands-on learning environments increase student participation, curiosity, and confidence while making healthcare career exploration both relevant and memorable.</w:t>
      </w:r>
    </w:p>
    <w:p w14:paraId="353AE29F" w14:textId="1BDF4EEE" w:rsidR="008B191A" w:rsidRPr="00136795" w:rsidRDefault="00136795" w:rsidP="00136795">
      <w:pPr>
        <w:spacing w:before="100" w:beforeAutospacing="1" w:after="100" w:afterAutospacing="1" w:line="300" w:lineRule="atLeast"/>
        <w:rPr>
          <w:rFonts w:ascii="Segoe UI" w:eastAsia="Times New Roman" w:hAnsi="Segoe UI" w:cs="Segoe UI"/>
          <w:kern w:val="0"/>
          <w:sz w:val="21"/>
          <w:szCs w:val="21"/>
          <w14:ligatures w14:val="none"/>
        </w:rPr>
      </w:pPr>
      <w:r w:rsidRPr="00136795">
        <w:rPr>
          <w:rFonts w:ascii="Segoe UI" w:eastAsia="Times New Roman" w:hAnsi="Segoe UI" w:cs="Segoe UI"/>
          <w:kern w:val="0"/>
          <w:sz w:val="21"/>
          <w:szCs w:val="21"/>
          <w14:ligatures w14:val="none"/>
        </w:rPr>
        <w:t>By bringing healthcare career experiences directly to rural schools and communities, these activities help students envision future opportunities, strengthen career readiness, and support the long-term sustainability of the rural healthcare workforce.</w:t>
      </w:r>
    </w:p>
    <w:sectPr w:rsidR="008B191A" w:rsidRPr="001367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B046E"/>
    <w:multiLevelType w:val="multilevel"/>
    <w:tmpl w:val="25F80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F870DB"/>
    <w:multiLevelType w:val="multilevel"/>
    <w:tmpl w:val="A8D2F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BC33EB"/>
    <w:multiLevelType w:val="multilevel"/>
    <w:tmpl w:val="16980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371319"/>
    <w:multiLevelType w:val="hybridMultilevel"/>
    <w:tmpl w:val="C818D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6848359">
    <w:abstractNumId w:val="2"/>
  </w:num>
  <w:num w:numId="2" w16cid:durableId="1984658010">
    <w:abstractNumId w:val="1"/>
  </w:num>
  <w:num w:numId="3" w16cid:durableId="750349927">
    <w:abstractNumId w:val="0"/>
  </w:num>
  <w:num w:numId="4" w16cid:durableId="3145329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795"/>
    <w:rsid w:val="00136795"/>
    <w:rsid w:val="001B442C"/>
    <w:rsid w:val="00435BA6"/>
    <w:rsid w:val="006D0484"/>
    <w:rsid w:val="008B191A"/>
    <w:rsid w:val="008E5A4C"/>
    <w:rsid w:val="00B91960"/>
    <w:rsid w:val="00BC6442"/>
    <w:rsid w:val="00D7484D"/>
    <w:rsid w:val="00EB1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82CD4"/>
  <w15:chartTrackingRefBased/>
  <w15:docId w15:val="{898392A1-C0B6-4F25-839C-D561E8939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1960"/>
    <w:pPr>
      <w:keepNext/>
      <w:keepLines/>
      <w:spacing w:before="360" w:after="80"/>
      <w:outlineLvl w:val="0"/>
    </w:pPr>
    <w:rPr>
      <w:rFonts w:ascii="Segoe UI" w:eastAsiaTheme="majorEastAsia" w:hAnsi="Segoe UI" w:cstheme="majorBidi"/>
      <w:b/>
      <w:sz w:val="27"/>
      <w:szCs w:val="40"/>
    </w:rPr>
  </w:style>
  <w:style w:type="paragraph" w:styleId="Heading2">
    <w:name w:val="heading 2"/>
    <w:basedOn w:val="Normal"/>
    <w:next w:val="Normal"/>
    <w:link w:val="Heading2Char"/>
    <w:uiPriority w:val="9"/>
    <w:semiHidden/>
    <w:unhideWhenUsed/>
    <w:qFormat/>
    <w:rsid w:val="001367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67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67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67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67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67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67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67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1960"/>
    <w:rPr>
      <w:rFonts w:ascii="Segoe UI" w:eastAsiaTheme="majorEastAsia" w:hAnsi="Segoe UI" w:cstheme="majorBidi"/>
      <w:b/>
      <w:sz w:val="27"/>
      <w:szCs w:val="40"/>
    </w:rPr>
  </w:style>
  <w:style w:type="character" w:customStyle="1" w:styleId="Heading2Char">
    <w:name w:val="Heading 2 Char"/>
    <w:basedOn w:val="DefaultParagraphFont"/>
    <w:link w:val="Heading2"/>
    <w:uiPriority w:val="9"/>
    <w:semiHidden/>
    <w:rsid w:val="001367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67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67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67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67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67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67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6795"/>
    <w:rPr>
      <w:rFonts w:eastAsiaTheme="majorEastAsia" w:cstheme="majorBidi"/>
      <w:color w:val="272727" w:themeColor="text1" w:themeTint="D8"/>
    </w:rPr>
  </w:style>
  <w:style w:type="paragraph" w:styleId="Title">
    <w:name w:val="Title"/>
    <w:basedOn w:val="Normal"/>
    <w:next w:val="Normal"/>
    <w:link w:val="TitleChar"/>
    <w:uiPriority w:val="10"/>
    <w:qFormat/>
    <w:rsid w:val="001367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67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67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67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6795"/>
    <w:pPr>
      <w:spacing w:before="160"/>
      <w:jc w:val="center"/>
    </w:pPr>
    <w:rPr>
      <w:i/>
      <w:iCs/>
      <w:color w:val="404040" w:themeColor="text1" w:themeTint="BF"/>
    </w:rPr>
  </w:style>
  <w:style w:type="character" w:customStyle="1" w:styleId="QuoteChar">
    <w:name w:val="Quote Char"/>
    <w:basedOn w:val="DefaultParagraphFont"/>
    <w:link w:val="Quote"/>
    <w:uiPriority w:val="29"/>
    <w:rsid w:val="00136795"/>
    <w:rPr>
      <w:i/>
      <w:iCs/>
      <w:color w:val="404040" w:themeColor="text1" w:themeTint="BF"/>
    </w:rPr>
  </w:style>
  <w:style w:type="paragraph" w:styleId="ListParagraph">
    <w:name w:val="List Paragraph"/>
    <w:basedOn w:val="Normal"/>
    <w:uiPriority w:val="34"/>
    <w:qFormat/>
    <w:rsid w:val="00136795"/>
    <w:pPr>
      <w:ind w:left="720"/>
      <w:contextualSpacing/>
    </w:pPr>
  </w:style>
  <w:style w:type="character" w:styleId="IntenseEmphasis">
    <w:name w:val="Intense Emphasis"/>
    <w:basedOn w:val="DefaultParagraphFont"/>
    <w:uiPriority w:val="21"/>
    <w:qFormat/>
    <w:rsid w:val="00136795"/>
    <w:rPr>
      <w:i/>
      <w:iCs/>
      <w:color w:val="0F4761" w:themeColor="accent1" w:themeShade="BF"/>
    </w:rPr>
  </w:style>
  <w:style w:type="paragraph" w:styleId="IntenseQuote">
    <w:name w:val="Intense Quote"/>
    <w:basedOn w:val="Normal"/>
    <w:next w:val="Normal"/>
    <w:link w:val="IntenseQuoteChar"/>
    <w:uiPriority w:val="30"/>
    <w:qFormat/>
    <w:rsid w:val="001367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6795"/>
    <w:rPr>
      <w:i/>
      <w:iCs/>
      <w:color w:val="0F4761" w:themeColor="accent1" w:themeShade="BF"/>
    </w:rPr>
  </w:style>
  <w:style w:type="character" w:styleId="IntenseReference">
    <w:name w:val="Intense Reference"/>
    <w:basedOn w:val="DefaultParagraphFont"/>
    <w:uiPriority w:val="32"/>
    <w:qFormat/>
    <w:rsid w:val="00136795"/>
    <w:rPr>
      <w:b/>
      <w:bCs/>
      <w:smallCaps/>
      <w:color w:val="0F4761" w:themeColor="accent1" w:themeShade="BF"/>
      <w:spacing w:val="5"/>
    </w:rPr>
  </w:style>
  <w:style w:type="character" w:styleId="Hyperlink">
    <w:name w:val="Hyperlink"/>
    <w:basedOn w:val="DefaultParagraphFont"/>
    <w:uiPriority w:val="99"/>
    <w:semiHidden/>
    <w:unhideWhenUsed/>
    <w:rsid w:val="008B191A"/>
    <w:rPr>
      <w:color w:val="0000FF"/>
      <w:u w:val="single"/>
    </w:rPr>
  </w:style>
  <w:style w:type="character" w:customStyle="1" w:styleId="entitydelimiterbefore">
    <w:name w:val="entitydelimiterbefore"/>
    <w:basedOn w:val="DefaultParagraphFont"/>
    <w:rsid w:val="008B191A"/>
  </w:style>
  <w:style w:type="character" w:customStyle="1" w:styleId="entity">
    <w:name w:val="_entity"/>
    <w:basedOn w:val="DefaultParagraphFont"/>
    <w:rsid w:val="008B191A"/>
  </w:style>
  <w:style w:type="character" w:customStyle="1" w:styleId="entitydelimiterafter">
    <w:name w:val="entitydelimiterafter"/>
    <w:basedOn w:val="DefaultParagraphFont"/>
    <w:rsid w:val="008B19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830</Words>
  <Characters>4731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Minnesota State Community and Technical College</Company>
  <LinksUpToDate>false</LinksUpToDate>
  <CharactersWithSpaces>5550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Schindler, Lois M</dc:creator>
  <cp:keywords/>
  <dc:description/>
  <cp:lastModifiedBy>Tysdal, Katie J</cp:lastModifiedBy>
  <cp:revision>3</cp:revision>
  <dcterms:created xsi:type="dcterms:W3CDTF">2026-07-13T18:47:00Z</dcterms:created>
  <dcterms:modified xsi:type="dcterms:W3CDTF">2026-10-13T15:52:00Z</dcterms:modified>
</cp:coreProperties>
</file>