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5E5FA" w14:textId="77777777" w:rsidR="00136795" w:rsidRPr="00B91960" w:rsidRDefault="00136795" w:rsidP="00B91960">
      <w:pPr>
        <w:pStyle w:val="Title"/>
        <w:rPr>
          <w:rFonts w:eastAsia="Times New Roman"/>
          <w:sz w:val="48"/>
          <w:szCs w:val="48"/>
        </w:rPr>
      </w:pPr>
      <w:r w:rsidRPr="00B91960">
        <w:rPr>
          <w:rFonts w:eastAsia="Times New Roman"/>
          <w:sz w:val="48"/>
          <w:szCs w:val="48"/>
        </w:rPr>
        <w:t>Healthcare Exploration Outreach Activities</w:t>
      </w:r>
    </w:p>
    <w:p w14:paraId="634476F1"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Through support from the U.S. Department of Labor PATH Grant and the expertise of Healthcare Outreach Specialists, eight interactive healthcare exploration activities and simulations have been developed to provide engaging career awareness experiences for students and participants interested in healthcare professions.</w:t>
      </w:r>
    </w:p>
    <w:p w14:paraId="5493F48F" w14:textId="77777777" w:rsidR="00136795" w:rsidRPr="00136795" w:rsidRDefault="00136795" w:rsidP="00B91960">
      <w:pPr>
        <w:pStyle w:val="Heading1"/>
        <w:rPr>
          <w:rFonts w:eastAsia="Times New Roman"/>
          <w:b w:val="0"/>
        </w:rPr>
      </w:pPr>
      <w:r w:rsidRPr="00136795">
        <w:rPr>
          <w:rFonts w:eastAsia="Times New Roman"/>
        </w:rPr>
        <w:t>What Are Hands-On Healthcare Exploration Activities and Simulations?</w:t>
      </w:r>
    </w:p>
    <w:p w14:paraId="4B19F933"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These hands-on learning experiences introduce participants to real-world skills and procedures commonly performed by healthcare professionals. Through guided activities, learners gain exposure to essential healthcare practices, including:</w:t>
      </w:r>
    </w:p>
    <w:p w14:paraId="3E79FEE8"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Safe preparation and administration of medications</w:t>
      </w:r>
    </w:p>
    <w:p w14:paraId="6934DAE7"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Selection and use of appropriate medical equipment</w:t>
      </w:r>
    </w:p>
    <w:p w14:paraId="2BBEBAD8"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Medication dosage preparation and injection techniques</w:t>
      </w:r>
    </w:p>
    <w:p w14:paraId="4F12ABA9"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Bleeding control and basic patient care procedures</w:t>
      </w:r>
    </w:p>
    <w:p w14:paraId="1A505F45" w14:textId="77777777" w:rsidR="00136795" w:rsidRPr="00136795" w:rsidRDefault="00136795" w:rsidP="0013679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Clinical decision-making and safety protocols</w:t>
      </w:r>
    </w:p>
    <w:p w14:paraId="18638A9F"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Designed around authentic healthcare scenarios and case studies, these activities help participants develop a deeper understanding of healthcare careers while building confidence and interest in the field. The simulations are freely available through any internet-connected device and can be accessed using a web link.</w:t>
      </w:r>
    </w:p>
    <w:p w14:paraId="3DC9C436" w14:textId="77777777" w:rsidR="00136795" w:rsidRPr="00136795" w:rsidRDefault="00136795" w:rsidP="00B91960">
      <w:pPr>
        <w:pStyle w:val="Heading1"/>
        <w:rPr>
          <w:rFonts w:eastAsia="Times New Roman"/>
        </w:rPr>
      </w:pPr>
      <w:r w:rsidRPr="00136795">
        <w:rPr>
          <w:rFonts w:eastAsia="Times New Roman"/>
        </w:rPr>
        <w:t>What Does CC BY 4.0 Licensing Mean?</w:t>
      </w:r>
    </w:p>
    <w:p w14:paraId="00792C47"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These educational resources are distributed under a Creative Commons Attribution (CC BY 4.0) license. This licensing model allows educators, organizations, and institutions to use, adapt, revise, and share the materials without requesting permission from the original authors, provided appropriate attribution is given. A recommended attribution statement is included within each simulation resource.</w:t>
      </w:r>
    </w:p>
    <w:p w14:paraId="43A45F68" w14:textId="77777777" w:rsidR="00136795" w:rsidRPr="00136795" w:rsidRDefault="00136795" w:rsidP="00B91960">
      <w:pPr>
        <w:pStyle w:val="Heading1"/>
        <w:rPr>
          <w:rFonts w:eastAsia="Times New Roman"/>
        </w:rPr>
      </w:pPr>
      <w:r w:rsidRPr="00136795">
        <w:rPr>
          <w:rFonts w:eastAsia="Times New Roman"/>
        </w:rPr>
        <w:t>What Are Career Exploration Outreach Healthcare Activities?</w:t>
      </w:r>
    </w:p>
    <w:p w14:paraId="13ECFACB"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Career Exploration Outreach Healthcare Activities combine healthcare career awareness with experiential learning. By incorporating actual medical tools, devices, and hands-on experiences, these activities help bridge the gap between healthcare education and career opportunities, making healthcare professions more tangible and accessible for students.</w:t>
      </w:r>
    </w:p>
    <w:p w14:paraId="055DECCE"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lastRenderedPageBreak/>
        <w:t>This approach is particularly impactful for youth in rural and underserved communities, where exposure to healthcare careers may be limited. Participants gain valuable insight into educational pathways, healthcare occupations, and workforce opportunities while engaging directly with healthcare equipment and procedures.</w:t>
      </w:r>
    </w:p>
    <w:p w14:paraId="7F525101" w14:textId="77777777" w:rsidR="00136795" w:rsidRPr="00136795" w:rsidRDefault="00136795" w:rsidP="00B91960">
      <w:pPr>
        <w:pStyle w:val="Heading1"/>
        <w:rPr>
          <w:rFonts w:eastAsia="Times New Roman"/>
        </w:rPr>
      </w:pPr>
      <w:r w:rsidRPr="00136795">
        <w:rPr>
          <w:rFonts w:eastAsia="Times New Roman"/>
        </w:rPr>
        <w:t>Impact and Benefits</w:t>
      </w:r>
    </w:p>
    <w:p w14:paraId="13FAA015"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Healthcare Exploration Outreach Activities:</w:t>
      </w:r>
    </w:p>
    <w:p w14:paraId="10DBFDE7"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Increase awareness of healthcare career pathways and educational opportunities.</w:t>
      </w:r>
    </w:p>
    <w:p w14:paraId="62A84A34"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Provide meaningful, hands-on experiences that enhance student engagement.</w:t>
      </w:r>
    </w:p>
    <w:p w14:paraId="6D338B13"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Support efficient and impactful school outreach visits, healthcare career fairs, and Scrubs Camps.</w:t>
      </w:r>
    </w:p>
    <w:p w14:paraId="6D6B3E1A"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Expand access to healthcare career exploration, particularly in rural and underserved regions.</w:t>
      </w:r>
    </w:p>
    <w:p w14:paraId="463A625B" w14:textId="77777777" w:rsidR="00136795" w:rsidRPr="00136795" w:rsidRDefault="00136795" w:rsidP="0013679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Strengthen recruitment efforts and contribute to increased enrollment in high-demand healthcare programs and occupations.</w:t>
      </w:r>
    </w:p>
    <w:p w14:paraId="48DC2116"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By combining experiential learning with career exploration, these activities inspire the next generation of healthcare professionals and help build a stronger healthcare workforce for the future.</w:t>
      </w:r>
    </w:p>
    <w:p w14:paraId="4BAD84D4" w14:textId="77777777" w:rsidR="00136795" w:rsidRPr="00136795" w:rsidRDefault="00136795" w:rsidP="00B91960">
      <w:pPr>
        <w:pStyle w:val="Heading1"/>
        <w:rPr>
          <w:rFonts w:eastAsia="Times New Roman"/>
        </w:rPr>
      </w:pPr>
      <w:r w:rsidRPr="00136795">
        <w:rPr>
          <w:rFonts w:eastAsia="Times New Roman"/>
        </w:rPr>
        <w:t>How Do These Activities Support Rural Education?</w:t>
      </w:r>
    </w:p>
    <w:p w14:paraId="5ACD836B" w14:textId="77777777"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Healthcare Exploration Outreach Activities play a critical role in supporting rural education by providing students with meaningful exposure to career opportunities that may otherwise be difficult to access. In many rural communities, limited proximity to healthcare facilities, postsecondary institutions, and healthcare professionals can create barriers to career exploration. These activities help overcome those challenges by bringing authentic healthcare experiences directly into schools and community settings.</w:t>
      </w:r>
    </w:p>
    <w:p w14:paraId="193787E0" w14:textId="40246722" w:rsidR="00136795" w:rsidRP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Keyways these activities support rural education include:</w:t>
      </w:r>
    </w:p>
    <w:p w14:paraId="0264545A"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Expanding Career Awareness:</w:t>
      </w:r>
      <w:r w:rsidRPr="00136795">
        <w:rPr>
          <w:rFonts w:ascii="Segoe UI" w:eastAsia="Times New Roman" w:hAnsi="Segoe UI" w:cs="Segoe UI"/>
          <w:kern w:val="0"/>
          <w:sz w:val="21"/>
          <w:szCs w:val="21"/>
          <w14:ligatures w14:val="none"/>
        </w:rPr>
        <w:t xml:space="preserve"> Students gain firsthand exposure to a wide range of healthcare careers, helping them better understand the educational pathways, skills, and opportunities available within the healthcare field.</w:t>
      </w:r>
    </w:p>
    <w:p w14:paraId="5E04A81B"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Increasing Access to Experiential Learning:</w:t>
      </w:r>
      <w:r w:rsidRPr="00136795">
        <w:rPr>
          <w:rFonts w:ascii="Segoe UI" w:eastAsia="Times New Roman" w:hAnsi="Segoe UI" w:cs="Segoe UI"/>
          <w:kern w:val="0"/>
          <w:sz w:val="21"/>
          <w:szCs w:val="21"/>
          <w14:ligatures w14:val="none"/>
        </w:rPr>
        <w:t xml:space="preserve"> Through hands-on activities and simulations, rural students can engage with healthcare equipment, procedures, and clinical scenarios that may not be available in their local schools or communities.</w:t>
      </w:r>
    </w:p>
    <w:p w14:paraId="73B2027A"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Connecting Classroom Learning to Careers:</w:t>
      </w:r>
      <w:r w:rsidRPr="00136795">
        <w:rPr>
          <w:rFonts w:ascii="Segoe UI" w:eastAsia="Times New Roman" w:hAnsi="Segoe UI" w:cs="Segoe UI"/>
          <w:kern w:val="0"/>
          <w:sz w:val="21"/>
          <w:szCs w:val="21"/>
          <w14:ligatures w14:val="none"/>
        </w:rPr>
        <w:t xml:space="preserve"> The activities reinforce science, health, and technical education concepts while demonstrating how academic skills are applied in real healthcare settings.</w:t>
      </w:r>
    </w:p>
    <w:p w14:paraId="0F15FE08"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lastRenderedPageBreak/>
        <w:t>Addressing Workforce Shortages:</w:t>
      </w:r>
      <w:r w:rsidRPr="00136795">
        <w:rPr>
          <w:rFonts w:ascii="Segoe UI" w:eastAsia="Times New Roman" w:hAnsi="Segoe UI" w:cs="Segoe UI"/>
          <w:kern w:val="0"/>
          <w:sz w:val="21"/>
          <w:szCs w:val="21"/>
          <w14:ligatures w14:val="none"/>
        </w:rPr>
        <w:t xml:space="preserve"> By introducing healthcare careers at an early age, the activities help build interest in high-demand occupations and support the development of a future healthcare workforce in rural and underserved regions.</w:t>
      </w:r>
    </w:p>
    <w:p w14:paraId="59BF282F" w14:textId="4B905322"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Reducing Geographic Barriers:</w:t>
      </w:r>
      <w:r w:rsidRPr="00136795">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P</w:t>
      </w:r>
      <w:r w:rsidRPr="00136795">
        <w:rPr>
          <w:rFonts w:ascii="Segoe UI" w:eastAsia="Times New Roman" w:hAnsi="Segoe UI" w:cs="Segoe UI"/>
          <w:kern w:val="0"/>
          <w:sz w:val="21"/>
          <w:szCs w:val="21"/>
          <w14:ligatures w14:val="none"/>
        </w:rPr>
        <w:t>ortable outreach activities can be delivered regardless of location, allowing students in remote communities to access the same high-quality career exploration experiences as their urban peers.</w:t>
      </w:r>
    </w:p>
    <w:p w14:paraId="15758485"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Supporting Equity and Opportunity:</w:t>
      </w:r>
      <w:r w:rsidRPr="00136795">
        <w:rPr>
          <w:rFonts w:ascii="Segoe UI" w:eastAsia="Times New Roman" w:hAnsi="Segoe UI" w:cs="Segoe UI"/>
          <w:kern w:val="0"/>
          <w:sz w:val="21"/>
          <w:szCs w:val="21"/>
          <w14:ligatures w14:val="none"/>
        </w:rPr>
        <w:t xml:space="preserve"> These activities provide rural students with access to resources, experiences, and professional insights that can help inform future educational and career decisions.</w:t>
      </w:r>
    </w:p>
    <w:p w14:paraId="586995F1" w14:textId="77777777" w:rsidR="00136795" w:rsidRPr="00136795" w:rsidRDefault="00136795" w:rsidP="00B91960">
      <w:pPr>
        <w:numPr>
          <w:ilvl w:val="0"/>
          <w:numId w:val="3"/>
        </w:numPr>
        <w:spacing w:before="100" w:beforeAutospacing="1" w:after="220" w:line="300" w:lineRule="atLeast"/>
        <w:rPr>
          <w:rFonts w:ascii="Segoe UI" w:eastAsia="Times New Roman" w:hAnsi="Segoe UI" w:cs="Segoe UI"/>
          <w:kern w:val="0"/>
          <w:sz w:val="21"/>
          <w:szCs w:val="21"/>
          <w14:ligatures w14:val="none"/>
        </w:rPr>
      </w:pPr>
      <w:r w:rsidRPr="00136795">
        <w:rPr>
          <w:rFonts w:ascii="Segoe UI" w:eastAsia="Times New Roman" w:hAnsi="Segoe UI" w:cs="Segoe UI"/>
          <w:b/>
          <w:bCs/>
          <w:kern w:val="0"/>
          <w:sz w:val="21"/>
          <w:szCs w:val="21"/>
          <w14:ligatures w14:val="none"/>
        </w:rPr>
        <w:t>Enhancing Student Engagement:</w:t>
      </w:r>
      <w:r w:rsidRPr="00136795">
        <w:rPr>
          <w:rFonts w:ascii="Segoe UI" w:eastAsia="Times New Roman" w:hAnsi="Segoe UI" w:cs="Segoe UI"/>
          <w:kern w:val="0"/>
          <w:sz w:val="21"/>
          <w:szCs w:val="21"/>
          <w14:ligatures w14:val="none"/>
        </w:rPr>
        <w:t xml:space="preserve"> Interactive, hands-on learning environments increase student participation, curiosity, and confidence while making healthcare career exploration both relevant and memorable.</w:t>
      </w:r>
    </w:p>
    <w:p w14:paraId="65AA1E28" w14:textId="77777777" w:rsidR="00136795" w:rsidRDefault="00136795" w:rsidP="00136795">
      <w:pPr>
        <w:spacing w:before="100" w:beforeAutospacing="1" w:after="100" w:afterAutospacing="1" w:line="300" w:lineRule="atLeast"/>
        <w:rPr>
          <w:rFonts w:ascii="Segoe UI" w:eastAsia="Times New Roman" w:hAnsi="Segoe UI" w:cs="Segoe UI"/>
          <w:kern w:val="0"/>
          <w:sz w:val="21"/>
          <w:szCs w:val="21"/>
          <w14:ligatures w14:val="none"/>
        </w:rPr>
      </w:pPr>
      <w:r w:rsidRPr="00136795">
        <w:rPr>
          <w:rFonts w:ascii="Segoe UI" w:eastAsia="Times New Roman" w:hAnsi="Segoe UI" w:cs="Segoe UI"/>
          <w:kern w:val="0"/>
          <w:sz w:val="21"/>
          <w:szCs w:val="21"/>
          <w14:ligatures w14:val="none"/>
        </w:rPr>
        <w:t>By bringing healthcare career experiences directly to rural schools and communities, these activities help students envision future opportunities, strengthen career readiness, and support the long-term sustainability of the rural healthcare workforce.</w:t>
      </w:r>
    </w:p>
    <w:p w14:paraId="3D170B1F" w14:textId="77777777" w:rsidR="008B191A" w:rsidRDefault="008B191A" w:rsidP="00136795">
      <w:pPr>
        <w:spacing w:before="100" w:beforeAutospacing="1" w:after="100" w:afterAutospacing="1" w:line="300" w:lineRule="atLeast"/>
        <w:rPr>
          <w:rFonts w:ascii="Segoe UI" w:eastAsia="Times New Roman" w:hAnsi="Segoe UI" w:cs="Segoe UI"/>
          <w:kern w:val="0"/>
          <w:sz w:val="21"/>
          <w:szCs w:val="21"/>
          <w14:ligatures w14:val="none"/>
        </w:rPr>
      </w:pPr>
    </w:p>
    <w:p w14:paraId="52A8782A" w14:textId="77777777" w:rsidR="008B191A" w:rsidRPr="00B91960" w:rsidRDefault="008B191A" w:rsidP="00B91960">
      <w:pPr>
        <w:pStyle w:val="ListParagraph"/>
        <w:numPr>
          <w:ilvl w:val="0"/>
          <w:numId w:val="4"/>
        </w:numPr>
        <w:rPr>
          <w:rFonts w:ascii="Garamond" w:eastAsia="Times New Roman" w:hAnsi="Garamond"/>
          <w:color w:val="000000"/>
          <w:sz w:val="26"/>
          <w:szCs w:val="26"/>
        </w:rPr>
      </w:pPr>
      <w:hyperlink r:id="rId5" w:history="1">
        <w:r w:rsidRPr="00B91960">
          <w:rPr>
            <w:rStyle w:val="Hyperlink"/>
            <w:rFonts w:ascii="Garamond" w:eastAsia="Times New Roman" w:hAnsi="Garamond"/>
            <w:sz w:val="26"/>
            <w:szCs w:val="26"/>
          </w:rPr>
          <w:t>Laparoscopic Lesson Plan OER.docx</w:t>
        </w:r>
      </w:hyperlink>
    </w:p>
    <w:p w14:paraId="2416B3CF" w14:textId="77777777" w:rsidR="008B191A" w:rsidRPr="00B91960" w:rsidRDefault="008B191A" w:rsidP="00B91960">
      <w:pPr>
        <w:pStyle w:val="ListParagraph"/>
        <w:numPr>
          <w:ilvl w:val="0"/>
          <w:numId w:val="4"/>
        </w:numPr>
        <w:rPr>
          <w:rFonts w:ascii="Garamond" w:eastAsia="Times New Roman" w:hAnsi="Garamond"/>
          <w:color w:val="000000"/>
          <w:sz w:val="26"/>
          <w:szCs w:val="26"/>
        </w:rPr>
      </w:pPr>
      <w:hyperlink r:id="rId6" w:history="1">
        <w:r w:rsidRPr="00B91960">
          <w:rPr>
            <w:rStyle w:val="Hyperlink"/>
            <w:rFonts w:ascii="Garamond" w:eastAsia="Times New Roman" w:hAnsi="Garamond"/>
            <w:sz w:val="26"/>
            <w:szCs w:val="26"/>
          </w:rPr>
          <w:t>Dental Plaster Activity Plan - OER.docx</w:t>
        </w:r>
      </w:hyperlink>
    </w:p>
    <w:p w14:paraId="15FCC9CB" w14:textId="575D3923" w:rsidR="008B191A" w:rsidRPr="00B91960" w:rsidRDefault="008B191A" w:rsidP="00B91960">
      <w:pPr>
        <w:pStyle w:val="ListParagraph"/>
        <w:numPr>
          <w:ilvl w:val="0"/>
          <w:numId w:val="4"/>
        </w:numPr>
        <w:rPr>
          <w:rFonts w:ascii="Garamond" w:eastAsia="Times New Roman" w:hAnsi="Garamond"/>
          <w:color w:val="000000"/>
          <w:sz w:val="26"/>
          <w:szCs w:val="26"/>
        </w:rPr>
      </w:pPr>
      <w:r w:rsidRPr="00B91960">
        <w:rPr>
          <w:rStyle w:val="entitydelimiterbefore"/>
          <w:rFonts w:ascii="Times New Roman" w:eastAsia="Times New Roman" w:hAnsi="Times New Roman" w:cs="Times New Roman"/>
          <w:color w:val="000000"/>
          <w:sz w:val="26"/>
          <w:szCs w:val="26"/>
        </w:rPr>
        <w:t>​</w:t>
      </w:r>
      <w:hyperlink r:id="rId7" w:history="1">
        <w:r>
          <w:rPr>
            <w:rStyle w:val="Hyperlink"/>
            <w:rFonts w:ascii="Garamond" w:eastAsia="Times New Roman" w:hAnsi="Garamond"/>
            <w:noProof/>
            <w:sz w:val="26"/>
            <w:szCs w:val="26"/>
            <w:u w:val="none"/>
            <w:shd w:val="clear" w:color="auto" w:fill="FAFAFA"/>
          </w:rPr>
          <w:drawing>
            <wp:inline distT="0" distB="0" distL="0" distR="0" wp14:anchorId="244101D5" wp14:editId="6ECB0DC3">
              <wp:extent cx="175260" cy="175260"/>
              <wp:effectExtent l="0" t="0" r="0" b="0"/>
              <wp:docPr id="1772694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9410"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B91960">
          <w:rPr>
            <w:rStyle w:val="Hyperlink"/>
            <w:rFonts w:ascii="Garamond" w:eastAsia="Times New Roman" w:hAnsi="Garamond"/>
            <w:sz w:val="26"/>
            <w:szCs w:val="26"/>
            <w:shd w:val="clear" w:color="auto" w:fill="FAFAFA"/>
          </w:rPr>
          <w:t>Wound Packing - OER Lesson Plan.docx</w:t>
        </w:r>
      </w:hyperlink>
      <w:r w:rsidRPr="00B91960">
        <w:rPr>
          <w:rStyle w:val="entitydelimiterafter"/>
          <w:rFonts w:ascii="Times New Roman" w:eastAsia="Times New Roman" w:hAnsi="Times New Roman" w:cs="Times New Roman"/>
          <w:color w:val="000000"/>
          <w:sz w:val="26"/>
          <w:szCs w:val="26"/>
        </w:rPr>
        <w:t>​</w:t>
      </w:r>
    </w:p>
    <w:p w14:paraId="1DD63010" w14:textId="42245046" w:rsidR="008B191A" w:rsidRPr="00B91960" w:rsidRDefault="008B191A" w:rsidP="00B91960">
      <w:pPr>
        <w:pStyle w:val="ListParagraph"/>
        <w:numPr>
          <w:ilvl w:val="0"/>
          <w:numId w:val="4"/>
        </w:numPr>
        <w:rPr>
          <w:rFonts w:ascii="Garamond" w:eastAsia="Times New Roman" w:hAnsi="Garamond"/>
          <w:color w:val="000000"/>
          <w:sz w:val="26"/>
          <w:szCs w:val="26"/>
        </w:rPr>
      </w:pPr>
      <w:r w:rsidRPr="00B91960">
        <w:rPr>
          <w:rStyle w:val="entitydelimiterbefore"/>
          <w:rFonts w:ascii="Times New Roman" w:eastAsia="Times New Roman" w:hAnsi="Times New Roman" w:cs="Times New Roman"/>
          <w:color w:val="000000"/>
          <w:sz w:val="26"/>
          <w:szCs w:val="26"/>
        </w:rPr>
        <w:t>​</w:t>
      </w:r>
      <w:hyperlink r:id="rId9" w:history="1">
        <w:r>
          <w:rPr>
            <w:rStyle w:val="Hyperlink"/>
            <w:rFonts w:ascii="Garamond" w:eastAsia="Times New Roman" w:hAnsi="Garamond"/>
            <w:noProof/>
            <w:sz w:val="26"/>
            <w:szCs w:val="26"/>
            <w:u w:val="none"/>
            <w:shd w:val="clear" w:color="auto" w:fill="FAFAFA"/>
          </w:rPr>
          <w:drawing>
            <wp:inline distT="0" distB="0" distL="0" distR="0" wp14:anchorId="6CF01D7F" wp14:editId="569C64D8">
              <wp:extent cx="175260" cy="175260"/>
              <wp:effectExtent l="0" t="0" r="0" b="0"/>
              <wp:docPr id="10625503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50370"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B91960">
          <w:rPr>
            <w:rStyle w:val="Hyperlink"/>
            <w:rFonts w:ascii="Garamond" w:eastAsia="Times New Roman" w:hAnsi="Garamond"/>
            <w:sz w:val="26"/>
            <w:szCs w:val="26"/>
            <w:shd w:val="clear" w:color="auto" w:fill="FAFAFA"/>
          </w:rPr>
          <w:t>MLT Lesson Plan OER.docx</w:t>
        </w:r>
      </w:hyperlink>
      <w:r w:rsidRPr="00B91960">
        <w:rPr>
          <w:rStyle w:val="entitydelimiterafter"/>
          <w:rFonts w:ascii="Times New Roman" w:eastAsia="Times New Roman" w:hAnsi="Times New Roman" w:cs="Times New Roman"/>
          <w:color w:val="000000"/>
          <w:sz w:val="26"/>
          <w:szCs w:val="26"/>
        </w:rPr>
        <w:t>​</w:t>
      </w:r>
    </w:p>
    <w:p w14:paraId="353AE29F" w14:textId="77777777" w:rsidR="008B191A" w:rsidRPr="00136795" w:rsidRDefault="008B191A" w:rsidP="00136795">
      <w:pPr>
        <w:spacing w:before="100" w:beforeAutospacing="1" w:after="100" w:afterAutospacing="1" w:line="300" w:lineRule="atLeast"/>
        <w:rPr>
          <w:rFonts w:ascii="Segoe UI" w:eastAsia="Times New Roman" w:hAnsi="Segoe UI" w:cs="Segoe UI"/>
          <w:kern w:val="0"/>
          <w:sz w:val="21"/>
          <w:szCs w:val="21"/>
          <w14:ligatures w14:val="none"/>
        </w:rPr>
      </w:pPr>
    </w:p>
    <w:sectPr w:rsidR="008B191A" w:rsidRPr="00136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46E"/>
    <w:multiLevelType w:val="multilevel"/>
    <w:tmpl w:val="25F8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F870DB"/>
    <w:multiLevelType w:val="multilevel"/>
    <w:tmpl w:val="A8D2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BC33EB"/>
    <w:multiLevelType w:val="multilevel"/>
    <w:tmpl w:val="1698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371319"/>
    <w:multiLevelType w:val="hybridMultilevel"/>
    <w:tmpl w:val="C818D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848359">
    <w:abstractNumId w:val="2"/>
  </w:num>
  <w:num w:numId="2" w16cid:durableId="1984658010">
    <w:abstractNumId w:val="1"/>
  </w:num>
  <w:num w:numId="3" w16cid:durableId="750349927">
    <w:abstractNumId w:val="0"/>
  </w:num>
  <w:num w:numId="4" w16cid:durableId="314532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95"/>
    <w:rsid w:val="00136795"/>
    <w:rsid w:val="001B442C"/>
    <w:rsid w:val="00435BA6"/>
    <w:rsid w:val="006D0484"/>
    <w:rsid w:val="008B191A"/>
    <w:rsid w:val="00B91960"/>
    <w:rsid w:val="00BC6442"/>
    <w:rsid w:val="00D74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2CD4"/>
  <w15:chartTrackingRefBased/>
  <w15:docId w15:val="{898392A1-C0B6-4F25-839C-D561E8939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960"/>
    <w:pPr>
      <w:keepNext/>
      <w:keepLines/>
      <w:spacing w:before="360" w:after="80"/>
      <w:outlineLvl w:val="0"/>
    </w:pPr>
    <w:rPr>
      <w:rFonts w:ascii="Segoe UI" w:eastAsiaTheme="majorEastAsia" w:hAnsi="Segoe UI" w:cstheme="majorBidi"/>
      <w:b/>
      <w:sz w:val="27"/>
      <w:szCs w:val="40"/>
    </w:rPr>
  </w:style>
  <w:style w:type="paragraph" w:styleId="Heading2">
    <w:name w:val="heading 2"/>
    <w:basedOn w:val="Normal"/>
    <w:next w:val="Normal"/>
    <w:link w:val="Heading2Char"/>
    <w:uiPriority w:val="9"/>
    <w:semiHidden/>
    <w:unhideWhenUsed/>
    <w:qFormat/>
    <w:rsid w:val="00136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67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67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67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67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67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67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67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960"/>
    <w:rPr>
      <w:rFonts w:ascii="Segoe UI" w:eastAsiaTheme="majorEastAsia" w:hAnsi="Segoe UI" w:cstheme="majorBidi"/>
      <w:b/>
      <w:sz w:val="27"/>
      <w:szCs w:val="40"/>
    </w:rPr>
  </w:style>
  <w:style w:type="character" w:customStyle="1" w:styleId="Heading2Char">
    <w:name w:val="Heading 2 Char"/>
    <w:basedOn w:val="DefaultParagraphFont"/>
    <w:link w:val="Heading2"/>
    <w:uiPriority w:val="9"/>
    <w:semiHidden/>
    <w:rsid w:val="001367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7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7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7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795"/>
    <w:rPr>
      <w:rFonts w:eastAsiaTheme="majorEastAsia" w:cstheme="majorBidi"/>
      <w:color w:val="272727" w:themeColor="text1" w:themeTint="D8"/>
    </w:rPr>
  </w:style>
  <w:style w:type="paragraph" w:styleId="Title">
    <w:name w:val="Title"/>
    <w:basedOn w:val="Normal"/>
    <w:next w:val="Normal"/>
    <w:link w:val="TitleChar"/>
    <w:uiPriority w:val="10"/>
    <w:qFormat/>
    <w:rsid w:val="00136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67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7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795"/>
    <w:pPr>
      <w:spacing w:before="160"/>
      <w:jc w:val="center"/>
    </w:pPr>
    <w:rPr>
      <w:i/>
      <w:iCs/>
      <w:color w:val="404040" w:themeColor="text1" w:themeTint="BF"/>
    </w:rPr>
  </w:style>
  <w:style w:type="character" w:customStyle="1" w:styleId="QuoteChar">
    <w:name w:val="Quote Char"/>
    <w:basedOn w:val="DefaultParagraphFont"/>
    <w:link w:val="Quote"/>
    <w:uiPriority w:val="29"/>
    <w:rsid w:val="00136795"/>
    <w:rPr>
      <w:i/>
      <w:iCs/>
      <w:color w:val="404040" w:themeColor="text1" w:themeTint="BF"/>
    </w:rPr>
  </w:style>
  <w:style w:type="paragraph" w:styleId="ListParagraph">
    <w:name w:val="List Paragraph"/>
    <w:basedOn w:val="Normal"/>
    <w:uiPriority w:val="34"/>
    <w:qFormat/>
    <w:rsid w:val="00136795"/>
    <w:pPr>
      <w:ind w:left="720"/>
      <w:contextualSpacing/>
    </w:pPr>
  </w:style>
  <w:style w:type="character" w:styleId="IntenseEmphasis">
    <w:name w:val="Intense Emphasis"/>
    <w:basedOn w:val="DefaultParagraphFont"/>
    <w:uiPriority w:val="21"/>
    <w:qFormat/>
    <w:rsid w:val="00136795"/>
    <w:rPr>
      <w:i/>
      <w:iCs/>
      <w:color w:val="0F4761" w:themeColor="accent1" w:themeShade="BF"/>
    </w:rPr>
  </w:style>
  <w:style w:type="paragraph" w:styleId="IntenseQuote">
    <w:name w:val="Intense Quote"/>
    <w:basedOn w:val="Normal"/>
    <w:next w:val="Normal"/>
    <w:link w:val="IntenseQuoteChar"/>
    <w:uiPriority w:val="30"/>
    <w:qFormat/>
    <w:rsid w:val="00136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6795"/>
    <w:rPr>
      <w:i/>
      <w:iCs/>
      <w:color w:val="0F4761" w:themeColor="accent1" w:themeShade="BF"/>
    </w:rPr>
  </w:style>
  <w:style w:type="character" w:styleId="IntenseReference">
    <w:name w:val="Intense Reference"/>
    <w:basedOn w:val="DefaultParagraphFont"/>
    <w:uiPriority w:val="32"/>
    <w:qFormat/>
    <w:rsid w:val="00136795"/>
    <w:rPr>
      <w:b/>
      <w:bCs/>
      <w:smallCaps/>
      <w:color w:val="0F4761" w:themeColor="accent1" w:themeShade="BF"/>
      <w:spacing w:val="5"/>
    </w:rPr>
  </w:style>
  <w:style w:type="character" w:styleId="Hyperlink">
    <w:name w:val="Hyperlink"/>
    <w:basedOn w:val="DefaultParagraphFont"/>
    <w:uiPriority w:val="99"/>
    <w:semiHidden/>
    <w:unhideWhenUsed/>
    <w:rsid w:val="008B191A"/>
    <w:rPr>
      <w:color w:val="0000FF"/>
      <w:u w:val="single"/>
    </w:rPr>
  </w:style>
  <w:style w:type="character" w:customStyle="1" w:styleId="entitydelimiterbefore">
    <w:name w:val="entitydelimiterbefore"/>
    <w:basedOn w:val="DefaultParagraphFont"/>
    <w:rsid w:val="008B191A"/>
  </w:style>
  <w:style w:type="character" w:customStyle="1" w:styleId="entity">
    <w:name w:val="_entity"/>
    <w:basedOn w:val="DefaultParagraphFont"/>
    <w:rsid w:val="008B191A"/>
  </w:style>
  <w:style w:type="character" w:customStyle="1" w:styleId="entitydelimiterafter">
    <w:name w:val="entitydelimiterafter"/>
    <w:basedOn w:val="DefaultParagraphFont"/>
    <w:rsid w:val="008B1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mnscu-my.sharepoint.com/:w:/g/personal/pe5294my_minnstate_edu/IQCnglo6prAIRI_LJ5gt3na5AZCwVkvG7tsgIkSIyVcHi2M?e=cVqXWi&amp;xsdata=MDV8MDJ8bG9pcy5zY2hpbmRsZXJAbWlubmVzb3RhLmVkdXxkOTViY2U5MzY2MTY0MDY2YjJjNDA4ZGVkMmU1YWU0MHw1MDExYzdjNjBhYjQ0NmFiOWVmNGZhZTc0YTkyMWE3ZnwwfDB8NjM5MTgwMDgxMTMwNDY5ODEyfFVua25vd258VFdGcGJHWnNiM2Q4ZXlKRmJYQjBlVTFoY0draU9uUnlkV1VzSWxZaU9pSXdMakF1TURBd01DSXNJbEFpT2lKWGFXNHpNaUlzSWtGT0lqb2lUV0ZwYkNJc0lsZFVJam95ZlE9PXwwfHx8&amp;sdata=STV1SFpnMnJEaWVJak1qTWZGdFdCV3NIZW5neUlIUU5IMTVYVDNST20wUT0%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nscu-my.sharepoint.com/:w:/g/personal/pe5294my_minnstate_edu/IQBaS95SndTgR7jDrVuf8tlfAdWq44r1bCfK6bxUJwq2pCE?e=W0nCUw&amp;xsdata=MDV8MDJ8bG9pcy5zY2hpbmRsZXJAbWlubmVzb3RhLmVkdXxkOTViY2U5MzY2MTY0MDY2YjJjNDA4ZGVkMmU1YWU0MHw1MDExYzdjNjBhYjQ0NmFiOWVmNGZhZTc0YTkyMWE3ZnwwfDB8NjM5MTgwMDgxMTMwNDU0ODI5fFVua25vd258VFdGcGJHWnNiM2Q4ZXlKRmJYQjBlVTFoY0draU9uUnlkV1VzSWxZaU9pSXdMakF1TURBd01DSXNJbEFpT2lKWGFXNHpNaUlzSWtGT0lqb2lUV0ZwYkNJc0lsZFVJam95ZlE9PXwwfHx8&amp;sdata=WHR4MCtaeFd6alJGWnhncmJsWnZDeE5rRnZIYzdwNEZFdW1CYkluaW81TT0%3d" TargetMode="External"/><Relationship Id="rId11" Type="http://schemas.openxmlformats.org/officeDocument/2006/relationships/theme" Target="theme/theme1.xml"/><Relationship Id="rId5" Type="http://schemas.openxmlformats.org/officeDocument/2006/relationships/hyperlink" Target="https://mnscu-my.sharepoint.com/:w:/g/personal/pe5294my_minnstate_edu/IQC4dPvvw98pRKzS3yzAoxCKAVYKIQ-nQ2U8iv5VHpgfGGU?e=QIb8fS&amp;xsdata=MDV8MDJ8bG9pcy5zY2hpbmRsZXJAbWlubmVzb3RhLmVkdXxkOTViY2U5MzY2MTY0MDY2YjJjNDA4ZGVkMmU1YWU0MHw1MDExYzdjNjBhYjQ0NmFiOWVmNGZhZTc0YTkyMWE3ZnwwfDB8NjM5MTgwMDgxMTMwNDE3Mzk0fFVua25vd258VFdGcGJHWnNiM2Q4ZXlKRmJYQjBlVTFoY0draU9uUnlkV1VzSWxZaU9pSXdMakF1TURBd01DSXNJbEFpT2lKWGFXNHpNaUlzSWtGT0lqb2lUV0ZwYkNJc0lsZFVJam95ZlE9PXwwfHx8&amp;sdata=QmNrZTgxaVp5Tll5TzhRREtjUFYwWHNyYnR6UkNSQVF5Y04yR1RZeFZJOD0%3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nscu-my.sharepoint.com/:w:/g/personal/pe5294my_minnstate_edu/IQD2_E-il0MPS5lpY-1s2eOfATWjsyIHCELb01YcE5NAWus?e=VFq0mt&amp;xsdata=MDV8MDJ8bG9pcy5zY2hpbmRsZXJAbWlubmVzb3RhLmVkdXxkOTViY2U5MzY2MTY0MDY2YjJjNDA4ZGVkMmU1YWU0MHw1MDExYzdjNjBhYjQ0NmFiOWVmNGZhZTc0YTkyMWE3ZnwwfDB8NjM5MTgwMDgxMTMwNDgyNjk4fFVua25vd258VFdGcGJHWnNiM2Q4ZXlKRmJYQjBlVTFoY0draU9uUnlkV1VzSWxZaU9pSXdMakF1TURBd01DSXNJbEFpT2lKWGFXNHpNaUlzSWtGT0lqb2lUV0ZwYkNJc0lsZFVJam95ZlE9PXwwfHx8&amp;sdata=NHdkMlZ2Rm5qRkFnc0xad1pWU3VwTW92NmdiQ01LL1VOUklWWEt6R05wMD0%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Minnesota State Community and Technical College</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Schindler, Lois M</dc:creator>
  <cp:keywords/>
  <dc:description/>
  <cp:lastModifiedBy>Tysdal, Katie J</cp:lastModifiedBy>
  <cp:revision>2</cp:revision>
  <dcterms:created xsi:type="dcterms:W3CDTF">2026-07-13T18:47:00Z</dcterms:created>
  <dcterms:modified xsi:type="dcterms:W3CDTF">2026-09-25T14:33:00Z</dcterms:modified>
</cp:coreProperties>
</file>